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734A8" w:rsidRDefault="002734A8" w:rsidP="002734A8">
      <w:pPr>
        <w:pStyle w:val="Heading1"/>
        <w:jc w:val="center"/>
      </w:pPr>
      <w:bookmarkStart w:id="0" w:name="_GoBack"/>
      <w:bookmarkEnd w:id="0"/>
      <w:r>
        <w:t>A Draft “Great Repeal Bill”</w:t>
      </w:r>
    </w:p>
    <w:p w:rsidR="002734A8" w:rsidRDefault="002734A8" w:rsidP="00A043FD">
      <w:pPr>
        <w:pStyle w:val="Heading2"/>
      </w:pPr>
    </w:p>
    <w:p w:rsidR="00A043FD" w:rsidRDefault="00A043FD" w:rsidP="00A043FD">
      <w:pPr>
        <w:pStyle w:val="Heading2"/>
      </w:pPr>
      <w:r>
        <w:t>Repeal</w:t>
      </w:r>
    </w:p>
    <w:p w:rsidR="00A043FD" w:rsidRDefault="00A043FD"/>
    <w:p w:rsidR="00A9204E" w:rsidRDefault="00A043FD">
      <w:r>
        <w:t>1</w:t>
      </w:r>
      <w:r>
        <w:tab/>
        <w:t>The European Communities Act 1972 is repealed.</w:t>
      </w:r>
    </w:p>
    <w:p w:rsidR="00A043FD" w:rsidRDefault="00A043FD"/>
    <w:p w:rsidR="00A043FD" w:rsidRDefault="00A043FD" w:rsidP="00A043FD">
      <w:pPr>
        <w:pStyle w:val="Heading2"/>
      </w:pPr>
      <w:r>
        <w:t>Preservation</w:t>
      </w:r>
    </w:p>
    <w:p w:rsidR="00A043FD" w:rsidRDefault="00A043FD" w:rsidP="00A043FD"/>
    <w:p w:rsidR="00A043FD" w:rsidRDefault="00A043FD" w:rsidP="00A043FD">
      <w:r>
        <w:t>2</w:t>
      </w:r>
      <w:r>
        <w:tab/>
        <w:t>Subject to</w:t>
      </w:r>
      <w:r w:rsidR="0096330E">
        <w:t xml:space="preserve"> and in accordance with</w:t>
      </w:r>
      <w:r>
        <w:t xml:space="preserve"> the provisions of this Act, </w:t>
      </w:r>
      <w:r w:rsidR="002D7134">
        <w:t>the</w:t>
      </w:r>
      <w:r>
        <w:t xml:space="preserve"> rights, powers, liabilities, obligations and restrictions which, immediately before the commencement of this Act, section 2(1) of the European Communities Act 1972 provided should be recognized and available in law, and be enforced allowed and followed accordingly, shall, by force of this Act, continue to be recognized and available in law, and be enforced allowed and followed accordingly.  </w:t>
      </w:r>
    </w:p>
    <w:p w:rsidR="0096330E" w:rsidRDefault="0096330E" w:rsidP="00A043FD"/>
    <w:p w:rsidR="0096330E" w:rsidRDefault="0096330E" w:rsidP="00A043FD">
      <w:r>
        <w:t>3</w:t>
      </w:r>
      <w:r>
        <w:tab/>
        <w:t>Subject to and in accordance with the provisions of this Act,</w:t>
      </w:r>
      <w:r w:rsidR="002D7134">
        <w:t xml:space="preserve"> a</w:t>
      </w:r>
      <w:r>
        <w:t xml:space="preserve"> provision made in accordance with section 2(2) of the European Communities Act 1972 which was in force immediately before the commencement of this Act shall, by force of this Act, continue to operate according to its terms.</w:t>
      </w:r>
    </w:p>
    <w:p w:rsidR="00427B0C" w:rsidRDefault="00427B0C" w:rsidP="00A043FD"/>
    <w:p w:rsidR="00427B0C" w:rsidRDefault="00B11A1F" w:rsidP="00A043FD">
      <w:r>
        <w:t>4</w:t>
      </w:r>
      <w:r>
        <w:tab/>
        <w:t xml:space="preserve">The </w:t>
      </w:r>
      <w:r w:rsidR="002D7134">
        <w:t>continued recognition and availability</w:t>
      </w:r>
      <w:r>
        <w:t xml:space="preserve"> of rights, powers, liabilities, obligations and restrictions effected by section 2 and the preservation of provisions effected by section 3 is subject to the qualifications and exceptions provided by this Act, including in particular section</w:t>
      </w:r>
      <w:r w:rsidR="002D7134">
        <w:t> 5.</w:t>
      </w:r>
    </w:p>
    <w:p w:rsidR="00B11A1F" w:rsidRDefault="00B11A1F" w:rsidP="00A043FD"/>
    <w:p w:rsidR="00B11A1F" w:rsidRDefault="00B11A1F" w:rsidP="00B11A1F">
      <w:pPr>
        <w:pStyle w:val="Heading2"/>
      </w:pPr>
      <w:r>
        <w:t>Qualifications and Exceptions to Preservation</w:t>
      </w:r>
    </w:p>
    <w:p w:rsidR="00B11A1F" w:rsidRDefault="00B11A1F" w:rsidP="00B11A1F"/>
    <w:p w:rsidR="00B11A1F" w:rsidRDefault="0060013B" w:rsidP="00B11A1F">
      <w:r>
        <w:t>5(1)</w:t>
      </w:r>
      <w:r>
        <w:tab/>
      </w:r>
      <w:r w:rsidR="00CA080F">
        <w:t>S</w:t>
      </w:r>
      <w:r w:rsidR="002D7134">
        <w:t xml:space="preserve">ection 2 </w:t>
      </w:r>
      <w:r w:rsidR="00CA080F">
        <w:t xml:space="preserve">and </w:t>
      </w:r>
      <w:r w:rsidR="002D7134">
        <w:t xml:space="preserve">section 3 of this Act </w:t>
      </w:r>
      <w:r w:rsidR="00CA080F">
        <w:t xml:space="preserve">do not, whether separately or together, </w:t>
      </w:r>
      <w:r w:rsidR="002D7134">
        <w:t xml:space="preserve">create or </w:t>
      </w:r>
      <w:r w:rsidR="00CA080F">
        <w:t>continue</w:t>
      </w:r>
      <w:r w:rsidR="002D7134">
        <w:t xml:space="preserve"> any right, power, liability, obligation or restriction or </w:t>
      </w:r>
      <w:r w:rsidR="005F2462">
        <w:t xml:space="preserve">continue the operation of </w:t>
      </w:r>
      <w:r w:rsidR="002D7134">
        <w:t>any provision</w:t>
      </w:r>
      <w:r w:rsidR="00CA080F">
        <w:t>:</w:t>
      </w:r>
    </w:p>
    <w:p w:rsidR="00CA080F" w:rsidRDefault="00CA080F" w:rsidP="00B11A1F"/>
    <w:p w:rsidR="00CA080F" w:rsidRDefault="00CA080F" w:rsidP="00876684">
      <w:pPr>
        <w:ind w:left="720"/>
      </w:pPr>
      <w:r>
        <w:t>(a)</w:t>
      </w:r>
      <w:r>
        <w:tab/>
      </w:r>
      <w:r w:rsidR="001B51F9">
        <w:t xml:space="preserve">which provides, or would have the effect of </w:t>
      </w:r>
      <w:r w:rsidR="0060013B">
        <w:t>providing</w:t>
      </w:r>
      <w:r w:rsidR="001B51F9">
        <w:t>,</w:t>
      </w:r>
      <w:r w:rsidR="0060013B">
        <w:t xml:space="preserve"> </w:t>
      </w:r>
      <w:r>
        <w:t>for the United Kingdom to be represented in, or a resident or citizen of the United Kingdom to be</w:t>
      </w:r>
      <w:r w:rsidR="000E28DE">
        <w:t>, to remain, or to later become</w:t>
      </w:r>
      <w:r>
        <w:t xml:space="preserve"> a member of or delegate to any institution</w:t>
      </w:r>
      <w:r w:rsidR="0060013B">
        <w:t xml:space="preserve"> of the EU, the Communities or any institution</w:t>
      </w:r>
      <w:r>
        <w:t xml:space="preserve"> created by or under the Treaties </w:t>
      </w:r>
      <w:r w:rsidR="0060013B">
        <w:t>or any of the Treaties;</w:t>
      </w:r>
    </w:p>
    <w:p w:rsidR="00CA080F" w:rsidRDefault="00CA080F" w:rsidP="00B11A1F"/>
    <w:p w:rsidR="0060013B" w:rsidRDefault="00CA080F" w:rsidP="00876684">
      <w:pPr>
        <w:ind w:left="720"/>
      </w:pPr>
      <w:r>
        <w:t>(b)</w:t>
      </w:r>
      <w:r>
        <w:tab/>
      </w:r>
      <w:proofErr w:type="gramStart"/>
      <w:r w:rsidR="001B51F9">
        <w:t>which</w:t>
      </w:r>
      <w:proofErr w:type="gramEnd"/>
      <w:r w:rsidR="001B51F9">
        <w:t xml:space="preserve"> provides, or would have the effect of </w:t>
      </w:r>
      <w:r w:rsidR="0060013B">
        <w:t>providing</w:t>
      </w:r>
      <w:r w:rsidR="001B51F9">
        <w:t>,</w:t>
      </w:r>
      <w:r w:rsidR="0060013B">
        <w:t xml:space="preserve"> </w:t>
      </w:r>
      <w:r>
        <w:t xml:space="preserve">for the regulation of relations between the United Kingdom and the </w:t>
      </w:r>
      <w:r w:rsidR="0060013B">
        <w:t xml:space="preserve">EU or between the United Kingdom and </w:t>
      </w:r>
      <w:r>
        <w:t xml:space="preserve">any one or more of </w:t>
      </w:r>
      <w:r w:rsidR="0060013B">
        <w:t>the member states of the EU;</w:t>
      </w:r>
    </w:p>
    <w:p w:rsidR="00CA080F" w:rsidRDefault="00CA080F" w:rsidP="00B11A1F"/>
    <w:p w:rsidR="0060013B" w:rsidRDefault="0060013B" w:rsidP="00876684">
      <w:pPr>
        <w:ind w:left="720"/>
      </w:pPr>
      <w:r>
        <w:t>(c)</w:t>
      </w:r>
      <w:r>
        <w:tab/>
      </w:r>
      <w:proofErr w:type="gramStart"/>
      <w:r w:rsidR="001B51F9">
        <w:t>which</w:t>
      </w:r>
      <w:proofErr w:type="gramEnd"/>
      <w:r w:rsidR="001B51F9">
        <w:t xml:space="preserve"> provides, or would have the effect of </w:t>
      </w:r>
      <w:r>
        <w:t>providing</w:t>
      </w:r>
      <w:r w:rsidR="001B51F9">
        <w:t>,</w:t>
      </w:r>
      <w:r>
        <w:t xml:space="preserve"> for the regulation of relations between the United Kingdom and any of the Communities or between the United Kingdom and any one or more of the member states of any of the Communities;</w:t>
      </w:r>
    </w:p>
    <w:p w:rsidR="0060013B" w:rsidRDefault="0060013B" w:rsidP="00B11A1F"/>
    <w:p w:rsidR="000E28DE" w:rsidRDefault="0060013B" w:rsidP="00876684">
      <w:pPr>
        <w:ind w:left="720"/>
      </w:pPr>
      <w:r>
        <w:t>(d)</w:t>
      </w:r>
      <w:r>
        <w:tab/>
      </w:r>
      <w:r w:rsidR="001B51F9">
        <w:t xml:space="preserve">which authorizes or permits, or would have the effect of </w:t>
      </w:r>
      <w:r>
        <w:t>authorizing or permitting</w:t>
      </w:r>
      <w:r w:rsidR="00B134DB">
        <w:t>,</w:t>
      </w:r>
      <w:r>
        <w:t xml:space="preserve"> any application of any kind to any </w:t>
      </w:r>
      <w:r w:rsidR="000E28DE">
        <w:t>institution of the EU or of any of the Communities no matter whether that institution exercises or would otherwise be permitted to exercise legislative, administrative or executive power;</w:t>
      </w:r>
    </w:p>
    <w:p w:rsidR="000E28DE" w:rsidRDefault="000E28DE" w:rsidP="00B11A1F"/>
    <w:p w:rsidR="00B134DB" w:rsidRDefault="000E28DE" w:rsidP="00876684">
      <w:pPr>
        <w:ind w:left="720"/>
      </w:pPr>
      <w:r>
        <w:lastRenderedPageBreak/>
        <w:t>(e)</w:t>
      </w:r>
      <w:r>
        <w:tab/>
      </w:r>
      <w:proofErr w:type="gramStart"/>
      <w:r w:rsidR="001B51F9">
        <w:t>which</w:t>
      </w:r>
      <w:proofErr w:type="gramEnd"/>
      <w:r w:rsidR="001B51F9">
        <w:t xml:space="preserve"> authorizes or requires, or would have the effect of </w:t>
      </w:r>
      <w:r>
        <w:t>authorizing or requiring</w:t>
      </w:r>
      <w:r w:rsidR="001B51F9">
        <w:t>,</w:t>
      </w:r>
      <w:r>
        <w:t xml:space="preserve"> the charging of any fee, tax or impost of any kind for, on behalf of, or for payment to</w:t>
      </w:r>
    </w:p>
    <w:p w:rsidR="00B134DB" w:rsidRDefault="00B134DB" w:rsidP="00B134DB">
      <w:pPr>
        <w:ind w:left="1440"/>
      </w:pPr>
      <w:r>
        <w:t xml:space="preserve">(i)  </w:t>
      </w:r>
      <w:proofErr w:type="gramStart"/>
      <w:r w:rsidR="000E28DE">
        <w:t>the</w:t>
      </w:r>
      <w:proofErr w:type="gramEnd"/>
      <w:r w:rsidR="000E28DE">
        <w:t xml:space="preserve"> EU or any of its institutions</w:t>
      </w:r>
      <w:r>
        <w:t xml:space="preserve">; or </w:t>
      </w:r>
    </w:p>
    <w:p w:rsidR="0060013B" w:rsidRDefault="00B134DB" w:rsidP="00B134DB">
      <w:pPr>
        <w:ind w:left="1440"/>
      </w:pPr>
      <w:r>
        <w:t xml:space="preserve">(ii)  </w:t>
      </w:r>
      <w:proofErr w:type="gramStart"/>
      <w:r w:rsidR="000E28DE">
        <w:t>any</w:t>
      </w:r>
      <w:proofErr w:type="gramEnd"/>
      <w:r w:rsidR="000E28DE">
        <w:t xml:space="preserve"> of the Communities or any institution of one or more of the Communities;</w:t>
      </w:r>
    </w:p>
    <w:p w:rsidR="000E28DE" w:rsidRDefault="000E28DE" w:rsidP="00B11A1F"/>
    <w:p w:rsidR="000E28DE" w:rsidRDefault="000E28DE" w:rsidP="00876684">
      <w:pPr>
        <w:ind w:left="720"/>
      </w:pPr>
      <w:r>
        <w:t>(f)</w:t>
      </w:r>
      <w:r>
        <w:tab/>
      </w:r>
      <w:r w:rsidR="001B51F9">
        <w:t xml:space="preserve">which gives, or would have the effect of </w:t>
      </w:r>
      <w:r>
        <w:t>giving</w:t>
      </w:r>
      <w:r w:rsidR="001B51F9">
        <w:t>,</w:t>
      </w:r>
      <w:r>
        <w:t xml:space="preserve"> rights, powers, liabilities or obligations to</w:t>
      </w:r>
      <w:r w:rsidR="001B51F9">
        <w:t>,</w:t>
      </w:r>
      <w:r>
        <w:t xml:space="preserve"> or </w:t>
      </w:r>
      <w:r w:rsidR="001B51F9">
        <w:t xml:space="preserve">imposes, or would have the effect of </w:t>
      </w:r>
      <w:r>
        <w:t xml:space="preserve">imposing restrictions on any person </w:t>
      </w:r>
      <w:r w:rsidR="001B51F9">
        <w:t>for the reason</w:t>
      </w:r>
      <w:r>
        <w:t xml:space="preserve"> that </w:t>
      </w:r>
      <w:r w:rsidR="001B51F9">
        <w:t xml:space="preserve">the </w:t>
      </w:r>
      <w:r>
        <w:t xml:space="preserve">person </w:t>
      </w:r>
      <w:r w:rsidR="001B51F9">
        <w:t xml:space="preserve">is </w:t>
      </w:r>
      <w:r>
        <w:t xml:space="preserve">a citizen of, or </w:t>
      </w:r>
      <w:r w:rsidR="001B51F9">
        <w:t xml:space="preserve">is </w:t>
      </w:r>
      <w:r>
        <w:t>resident in, a state (other than the United Kingdom) that is a member state of the EU or a member State of any of the Communities.</w:t>
      </w:r>
    </w:p>
    <w:p w:rsidR="002D7134" w:rsidRDefault="002D7134" w:rsidP="00B11A1F"/>
    <w:p w:rsidR="002D7134" w:rsidRDefault="0060013B" w:rsidP="00B11A1F">
      <w:r>
        <w:t>5(2)</w:t>
      </w:r>
      <w:r>
        <w:tab/>
      </w:r>
      <w:proofErr w:type="gramStart"/>
      <w:r>
        <w:t>In</w:t>
      </w:r>
      <w:proofErr w:type="gramEnd"/>
      <w:r>
        <w:t xml:space="preserve"> this section, “the EU”, “the Communities” and “the Treaties” each have the meaning given by section 1(2) of the European Communities Act 1972 as that Act stood immediately before its repeal by this Act.  </w:t>
      </w:r>
    </w:p>
    <w:p w:rsidR="002D7134" w:rsidRDefault="002D7134" w:rsidP="00B11A1F"/>
    <w:p w:rsidR="002D7134" w:rsidRDefault="00E83576" w:rsidP="00B079B1">
      <w:pPr>
        <w:pStyle w:val="Heading2"/>
      </w:pPr>
      <w:r>
        <w:t>Reading and applying EU instruments.</w:t>
      </w:r>
    </w:p>
    <w:p w:rsidR="00B079B1" w:rsidRDefault="00B079B1" w:rsidP="00B079B1"/>
    <w:p w:rsidR="00B079B1" w:rsidRDefault="00B079B1" w:rsidP="00B079B1">
      <w:r>
        <w:t>6</w:t>
      </w:r>
      <w:r>
        <w:tab/>
      </w:r>
      <w:r w:rsidR="00E83576">
        <w:t>If, for</w:t>
      </w:r>
      <w:r w:rsidR="005F2462">
        <w:t xml:space="preserve"> the purposes of giving effect to the provisions of this Act, </w:t>
      </w:r>
      <w:r w:rsidR="00E83576">
        <w:t xml:space="preserve">it is necessary to refer to </w:t>
      </w:r>
      <w:r w:rsidR="00670A37">
        <w:t xml:space="preserve">or apply </w:t>
      </w:r>
      <w:r w:rsidR="009C61F0">
        <w:t>a</w:t>
      </w:r>
      <w:r w:rsidR="00E83576">
        <w:t xml:space="preserve">n EU instrument, and </w:t>
      </w:r>
      <w:r w:rsidR="009C61F0">
        <w:t>that</w:t>
      </w:r>
      <w:r w:rsidR="00E83576">
        <w:t xml:space="preserve"> EU instrument refers to an EU institution</w:t>
      </w:r>
      <w:r w:rsidR="009C61F0">
        <w:t xml:space="preserve"> identified in column one of the table below, the reference in that instrument to that EU institution shall be read and applied as if the instrument referred to the institution identified in column two of the table.</w:t>
      </w:r>
    </w:p>
    <w:p w:rsidR="009C61F0" w:rsidRDefault="009C61F0" w:rsidP="00B079B1"/>
    <w:p w:rsidR="009C61F0" w:rsidRDefault="009C61F0" w:rsidP="009C61F0">
      <w:pPr>
        <w:jc w:val="center"/>
      </w:pPr>
      <w:r>
        <w:t>Table</w:t>
      </w:r>
    </w:p>
    <w:p w:rsidR="00F7720F" w:rsidRDefault="00F7720F" w:rsidP="009C61F0">
      <w:pPr>
        <w:jc w:val="center"/>
      </w:pPr>
    </w:p>
    <w:p w:rsidR="00F7720F" w:rsidRDefault="00F7720F" w:rsidP="009C61F0">
      <w:pPr>
        <w:jc w:val="center"/>
      </w:pPr>
    </w:p>
    <w:p w:rsidR="009C61F0" w:rsidRDefault="009C61F0" w:rsidP="00B079B1"/>
    <w:p w:rsidR="00670A37" w:rsidRDefault="00670A37" w:rsidP="00B079B1">
      <w:r>
        <w:t>7(1)</w:t>
      </w:r>
      <w:r>
        <w:tab/>
        <w:t>If, for the purposes of giving effect to the provisions of this Act, it is necessary to refer to or apply an EU instrument, that EU instrument is to be construed and applied as it would have been construed and applied if this Act had not been enacted.</w:t>
      </w:r>
    </w:p>
    <w:p w:rsidR="00670A37" w:rsidRDefault="00670A37" w:rsidP="00B079B1"/>
    <w:p w:rsidR="00670A37" w:rsidRDefault="00670A37" w:rsidP="00B079B1">
      <w:r>
        <w:t>7(2)</w:t>
      </w:r>
      <w:r>
        <w:tab/>
        <w:t xml:space="preserve">Without limiting the generality of section 7(1), any question about the meaning or application of an EU instrument is to be determined by reference to any decision of any EU institution made before this Act comes into effect and which, if this Act had not been enacted would have been relevant to that question.  </w:t>
      </w:r>
    </w:p>
    <w:p w:rsidR="00670A37" w:rsidRDefault="00670A37" w:rsidP="00B079B1"/>
    <w:p w:rsidR="009C61F0" w:rsidRDefault="00670A37" w:rsidP="00B079B1">
      <w:r>
        <w:t>8</w:t>
      </w:r>
      <w:r w:rsidR="009C61F0">
        <w:tab/>
        <w:t>In section</w:t>
      </w:r>
      <w:r w:rsidR="003F73DE">
        <w:t> 6 and section 7</w:t>
      </w:r>
      <w:r w:rsidR="009C61F0">
        <w:t>, “EU institution” and “EU instrument”</w:t>
      </w:r>
      <w:r w:rsidR="00876684">
        <w:t xml:space="preserve"> each have the meaning given by section 1(2) of the European Communities Act 1972 as that Act stood immediately before its repeal by this Act.  </w:t>
      </w:r>
    </w:p>
    <w:p w:rsidR="00B134DB" w:rsidRDefault="00B134DB" w:rsidP="00B079B1"/>
    <w:p w:rsidR="00B134DB" w:rsidRDefault="00B134DB" w:rsidP="00B134DB">
      <w:pPr>
        <w:pStyle w:val="Heading2"/>
      </w:pPr>
      <w:r>
        <w:t>Evidence of EU instruments</w:t>
      </w:r>
    </w:p>
    <w:p w:rsidR="00876684" w:rsidRDefault="00876684" w:rsidP="00B079B1"/>
    <w:p w:rsidR="00876684" w:rsidRDefault="003F73DE" w:rsidP="00B079B1">
      <w:r>
        <w:t>9</w:t>
      </w:r>
      <w:r w:rsidR="00876684">
        <w:tab/>
        <w:t>Evidence of any EU instrument may be given in any legal proceedings–</w:t>
      </w:r>
    </w:p>
    <w:p w:rsidR="00876684" w:rsidRDefault="00876684" w:rsidP="00B079B1"/>
    <w:p w:rsidR="00876684" w:rsidRDefault="00876684" w:rsidP="00876684">
      <w:pPr>
        <w:ind w:left="720"/>
      </w:pPr>
      <w:r>
        <w:t>(a)</w:t>
      </w:r>
      <w:r>
        <w:tab/>
      </w:r>
      <w:proofErr w:type="gramStart"/>
      <w:r>
        <w:t>by</w:t>
      </w:r>
      <w:proofErr w:type="gramEnd"/>
      <w:r>
        <w:t xml:space="preserve"> production of a copy purporting to be printed by the Queen’s Printer;</w:t>
      </w:r>
    </w:p>
    <w:p w:rsidR="00876684" w:rsidRDefault="00876684" w:rsidP="00876684"/>
    <w:p w:rsidR="00876684" w:rsidRDefault="00876684" w:rsidP="00876684">
      <w:pPr>
        <w:ind w:left="720"/>
      </w:pPr>
      <w:r>
        <w:t>(b)</w:t>
      </w:r>
      <w:r>
        <w:tab/>
        <w:t xml:space="preserve">where the instrument is in the custody of a government department (including a department of the Government of Northern Ireland), by production of a copy certified on behalf </w:t>
      </w:r>
      <w:r>
        <w:lastRenderedPageBreak/>
        <w:t xml:space="preserve">of the department to be a true copy by an officer of the department generally or specially </w:t>
      </w:r>
      <w:proofErr w:type="spellStart"/>
      <w:r>
        <w:t>authorised</w:t>
      </w:r>
      <w:proofErr w:type="spellEnd"/>
      <w:r>
        <w:t xml:space="preserve"> so to do;</w:t>
      </w:r>
    </w:p>
    <w:p w:rsidR="00876684" w:rsidRDefault="00876684" w:rsidP="00876684"/>
    <w:p w:rsidR="00876684" w:rsidRDefault="00876684" w:rsidP="00876684">
      <w:r>
        <w:t>and any document purporting to be such a copy as is mentioned in paragraph (b) above of an instrument in the custody of a department shall be received in evidence without proof of the official position or handwriting of the person signing the certificate, or of his authority to do so, or of the document being in the custody of the department.</w:t>
      </w:r>
    </w:p>
    <w:p w:rsidR="00876684" w:rsidRDefault="00876684" w:rsidP="00B079B1"/>
    <w:p w:rsidR="009C61F0" w:rsidRDefault="00CF4B00" w:rsidP="003F73DE">
      <w:pPr>
        <w:pStyle w:val="Heading2"/>
      </w:pPr>
      <w:r>
        <w:t>Inconsistency with later laws</w:t>
      </w:r>
    </w:p>
    <w:p w:rsidR="009C61F0" w:rsidRDefault="009C61F0" w:rsidP="009C61F0"/>
    <w:p w:rsidR="009C61F0" w:rsidRDefault="003F73DE" w:rsidP="009C61F0">
      <w:r>
        <w:t>10</w:t>
      </w:r>
      <w:r w:rsidR="00CF4B00">
        <w:t>(1)</w:t>
      </w:r>
      <w:r w:rsidR="009C61F0">
        <w:tab/>
      </w:r>
      <w:r w:rsidR="008D357F">
        <w:t xml:space="preserve">When any right, power, liability, obligation or restriction created or continued by operation of this Act is inconsistent with any law made after this Act comes into effect, the latter shall prevail, and the former shall, to the extent of the inconsistency, be </w:t>
      </w:r>
      <w:r w:rsidR="00CF4B00">
        <w:t xml:space="preserve">and remain </w:t>
      </w:r>
      <w:r w:rsidR="008D357F">
        <w:t>invalid</w:t>
      </w:r>
      <w:r w:rsidR="00CF4B00">
        <w:t>.</w:t>
      </w:r>
    </w:p>
    <w:p w:rsidR="00CF4B00" w:rsidRDefault="00CF4B00" w:rsidP="009C61F0"/>
    <w:p w:rsidR="00CF4B00" w:rsidRDefault="003F73DE" w:rsidP="009C61F0">
      <w:r>
        <w:t>10</w:t>
      </w:r>
      <w:r w:rsidR="00CF4B00">
        <w:t>(2)</w:t>
      </w:r>
      <w:r w:rsidR="00CF4B00">
        <w:tab/>
      </w:r>
      <w:proofErr w:type="gramStart"/>
      <w:r w:rsidR="00CF4B00">
        <w:t>When</w:t>
      </w:r>
      <w:proofErr w:type="gramEnd"/>
      <w:r w:rsidR="00CF4B00">
        <w:t xml:space="preserve"> any provision referred to in section 3 of this Act and preserved in effect by this Act is inconsistent with any law made after this Act comes into effect, the latter shall prevail, and the former shall, to the extent of the inconsistency, be and remain invalid.</w:t>
      </w:r>
    </w:p>
    <w:p w:rsidR="003F73DE" w:rsidRDefault="003F73DE" w:rsidP="009C61F0"/>
    <w:p w:rsidR="00CF4B00" w:rsidRDefault="003F73DE" w:rsidP="009C61F0">
      <w:r>
        <w:t>10</w:t>
      </w:r>
      <w:r w:rsidR="00CF4B00">
        <w:t>(3)</w:t>
      </w:r>
      <w:r w:rsidR="00CF4B00">
        <w:tab/>
        <w:t>Without limiting th</w:t>
      </w:r>
      <w:r w:rsidR="00781F08">
        <w:t>e generality of either section </w:t>
      </w:r>
      <w:r>
        <w:t>10</w:t>
      </w:r>
      <w:r w:rsidR="00781F08">
        <w:t>(1) or section </w:t>
      </w:r>
      <w:r>
        <w:t>10</w:t>
      </w:r>
      <w:r w:rsidR="00CF4B00">
        <w:t xml:space="preserve">(2), a right, power, liability, obligation or restriction created or continued by operation of this Act is inconsistent with any law made after this Act comes into effect if and to the extent that giving effect to that right, power, liability, obligation or restriction would alter, impair or detract from the operation of the law made after this Act comes into effect.  </w:t>
      </w:r>
    </w:p>
    <w:p w:rsidR="00CF4B00" w:rsidRDefault="00CF4B00" w:rsidP="009C61F0"/>
    <w:p w:rsidR="00CF4B00" w:rsidRDefault="003F73DE" w:rsidP="009C61F0">
      <w:r>
        <w:t>10</w:t>
      </w:r>
      <w:r w:rsidR="00CF4B00">
        <w:t>(4)</w:t>
      </w:r>
      <w:r w:rsidR="00CF4B00">
        <w:tab/>
        <w:t>Without limiting the generality of either section </w:t>
      </w:r>
      <w:r>
        <w:t>10</w:t>
      </w:r>
      <w:r w:rsidR="00CF4B00">
        <w:t>(1) or section </w:t>
      </w:r>
      <w:r>
        <w:t>10</w:t>
      </w:r>
      <w:r w:rsidR="00CF4B00">
        <w:t xml:space="preserve">(2), a provision referred to in section 3 of this Act and preserved in effect by this Act is inconsistent with any law made after this Act comes into effect if and to the extent that giving effect to the provision would alter, impair or detract from the operation of the law made after this Act comes into effect.  </w:t>
      </w:r>
    </w:p>
    <w:p w:rsidR="000C4890" w:rsidRDefault="000C4890" w:rsidP="009C61F0"/>
    <w:p w:rsidR="000C4890" w:rsidRDefault="000C4890" w:rsidP="000C4890">
      <w:pPr>
        <w:pStyle w:val="Heading2"/>
      </w:pPr>
      <w:r>
        <w:t>Transitional provisions</w:t>
      </w:r>
    </w:p>
    <w:p w:rsidR="000C4890" w:rsidRDefault="000C4890" w:rsidP="000C4890"/>
    <w:p w:rsidR="00ED6684" w:rsidRDefault="00980288" w:rsidP="000C4890">
      <w:r>
        <w:t>11</w:t>
      </w:r>
      <w:r w:rsidR="00ED6684">
        <w:tab/>
        <w:t>A thing that was done before the commencement of this Act by, under, or for the purposes of any law continued in operation or effect by the application of either section 2 or section 3 of this Act has effect, and may be dealt with for the purposes of this Act</w:t>
      </w:r>
      <w:r w:rsidR="00F620B4">
        <w:t>,</w:t>
      </w:r>
      <w:r w:rsidR="00ED6684">
        <w:t xml:space="preserve"> as if it were done by, under, or for the purposes of this Act.</w:t>
      </w:r>
    </w:p>
    <w:p w:rsidR="00ED6684" w:rsidRDefault="00ED6684" w:rsidP="000C4890"/>
    <w:p w:rsidR="00ED6684" w:rsidRDefault="00980288" w:rsidP="000C4890">
      <w:r>
        <w:t>12</w:t>
      </w:r>
      <w:r w:rsidR="007D20EC">
        <w:t>(1)</w:t>
      </w:r>
      <w:r w:rsidR="00ED6684">
        <w:tab/>
      </w:r>
      <w:r w:rsidR="00F620B4">
        <w:t xml:space="preserve">Subject to </w:t>
      </w:r>
      <w:r w:rsidR="007D20EC">
        <w:t>sub</w:t>
      </w:r>
      <w:r w:rsidR="007D20EC">
        <w:noBreakHyphen/>
      </w:r>
      <w:r w:rsidR="00F620B4">
        <w:t>section </w:t>
      </w:r>
      <w:r w:rsidR="007D20EC">
        <w:t>(2)</w:t>
      </w:r>
      <w:r w:rsidR="00F620B4">
        <w:t>, a</w:t>
      </w:r>
      <w:r w:rsidR="00ED6684">
        <w:t xml:space="preserve">ny right or liability that had been acquired, accrued or incurred before the commencement of this Act under any law continued in operation or effect by the application of either section 2 or section 3 of this Act and was a right or liability that existed immediately before the commencement of this Act </w:t>
      </w:r>
      <w:r w:rsidR="006E318E">
        <w:t>may be enforced by proceedings instituted after the commencement of this Act in a United Kingdom court or tribunal having authority to decide proceedings for the enforcement of that right or liability.</w:t>
      </w:r>
    </w:p>
    <w:p w:rsidR="006E318E" w:rsidRDefault="006E318E" w:rsidP="000C4890"/>
    <w:p w:rsidR="006E318E" w:rsidRDefault="007D20EC" w:rsidP="000C4890">
      <w:r>
        <w:t>12(2)</w:t>
      </w:r>
      <w:r w:rsidR="00F620B4">
        <w:tab/>
        <w:t xml:space="preserve">If </w:t>
      </w:r>
      <w:r w:rsidR="00980288">
        <w:t xml:space="preserve">a time limit was prescribed for commencing </w:t>
      </w:r>
      <w:r w:rsidR="00F620B4">
        <w:t xml:space="preserve">proceedings for the enforcement of a right or liability acquired, accrued or incurred before the commencement of this Act </w:t>
      </w:r>
      <w:r w:rsidR="00980288">
        <w:t xml:space="preserve">and that time limit </w:t>
      </w:r>
      <w:r w:rsidR="00F620B4">
        <w:t xml:space="preserve">had begun to run before the time of commencement of this Act, the period for commencing proceedings </w:t>
      </w:r>
      <w:r w:rsidR="00F620B4">
        <w:lastRenderedPageBreak/>
        <w:t xml:space="preserve">under </w:t>
      </w:r>
      <w:r>
        <w:t>sub</w:t>
      </w:r>
      <w:r>
        <w:noBreakHyphen/>
      </w:r>
      <w:r w:rsidR="00F620B4">
        <w:t>section </w:t>
      </w:r>
      <w:r>
        <w:t>(</w:t>
      </w:r>
      <w:r w:rsidR="00980288">
        <w:t>1</w:t>
      </w:r>
      <w:r>
        <w:t>)</w:t>
      </w:r>
      <w:r w:rsidR="00F620B4">
        <w:t xml:space="preserve"> is to be computed from the </w:t>
      </w:r>
      <w:r w:rsidR="00980288">
        <w:t>day when the time limit for commencing proceedings first began to run.</w:t>
      </w:r>
    </w:p>
    <w:p w:rsidR="00980288" w:rsidRDefault="00980288" w:rsidP="000C4890"/>
    <w:p w:rsidR="00980288" w:rsidRPr="000C4890" w:rsidRDefault="00980288" w:rsidP="000C4890"/>
    <w:sectPr w:rsidR="00980288" w:rsidRPr="000C489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Consolas">
    <w:panose1 w:val="020B0609020204030204"/>
    <w:charset w:val="00"/>
    <w:family w:val="modern"/>
    <w:pitch w:val="fixed"/>
    <w:sig w:usb0="E10002FF" w:usb1="4000F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6F128CC0"/>
    <w:lvl w:ilvl="0">
      <w:start w:val="1"/>
      <w:numFmt w:val="decimal"/>
      <w:lvlText w:val="%1."/>
      <w:lvlJc w:val="left"/>
      <w:pPr>
        <w:tabs>
          <w:tab w:val="num" w:pos="1800"/>
        </w:tabs>
        <w:ind w:left="1800" w:hanging="360"/>
      </w:pPr>
    </w:lvl>
  </w:abstractNum>
  <w:abstractNum w:abstractNumId="1">
    <w:nsid w:val="FFFFFF7D"/>
    <w:multiLevelType w:val="singleLevel"/>
    <w:tmpl w:val="DAA0AA1C"/>
    <w:lvl w:ilvl="0">
      <w:start w:val="1"/>
      <w:numFmt w:val="decimal"/>
      <w:lvlText w:val="%1."/>
      <w:lvlJc w:val="left"/>
      <w:pPr>
        <w:tabs>
          <w:tab w:val="num" w:pos="1440"/>
        </w:tabs>
        <w:ind w:left="1440" w:hanging="360"/>
      </w:pPr>
    </w:lvl>
  </w:abstractNum>
  <w:abstractNum w:abstractNumId="2">
    <w:nsid w:val="FFFFFF7E"/>
    <w:multiLevelType w:val="singleLevel"/>
    <w:tmpl w:val="C6928A44"/>
    <w:lvl w:ilvl="0">
      <w:start w:val="1"/>
      <w:numFmt w:val="decimal"/>
      <w:lvlText w:val="%1."/>
      <w:lvlJc w:val="left"/>
      <w:pPr>
        <w:tabs>
          <w:tab w:val="num" w:pos="1080"/>
        </w:tabs>
        <w:ind w:left="1080" w:hanging="360"/>
      </w:pPr>
    </w:lvl>
  </w:abstractNum>
  <w:abstractNum w:abstractNumId="3">
    <w:nsid w:val="FFFFFF7F"/>
    <w:multiLevelType w:val="singleLevel"/>
    <w:tmpl w:val="75ACADB0"/>
    <w:lvl w:ilvl="0">
      <w:start w:val="1"/>
      <w:numFmt w:val="decimal"/>
      <w:lvlText w:val="%1."/>
      <w:lvlJc w:val="left"/>
      <w:pPr>
        <w:tabs>
          <w:tab w:val="num" w:pos="720"/>
        </w:tabs>
        <w:ind w:left="720" w:hanging="360"/>
      </w:pPr>
    </w:lvl>
  </w:abstractNum>
  <w:abstractNum w:abstractNumId="4">
    <w:nsid w:val="FFFFFF80"/>
    <w:multiLevelType w:val="singleLevel"/>
    <w:tmpl w:val="217AC734"/>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AD4E1D30"/>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680C027C"/>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4F5E5D9A"/>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CA7202F2"/>
    <w:lvl w:ilvl="0">
      <w:start w:val="1"/>
      <w:numFmt w:val="decimal"/>
      <w:lvlText w:val="%1."/>
      <w:lvlJc w:val="left"/>
      <w:pPr>
        <w:tabs>
          <w:tab w:val="num" w:pos="360"/>
        </w:tabs>
        <w:ind w:left="360" w:hanging="360"/>
      </w:pPr>
    </w:lvl>
  </w:abstractNum>
  <w:abstractNum w:abstractNumId="9">
    <w:nsid w:val="FFFFFF89"/>
    <w:multiLevelType w:val="singleLevel"/>
    <w:tmpl w:val="24CE3B88"/>
    <w:lvl w:ilvl="0">
      <w:start w:val="1"/>
      <w:numFmt w:val="bullet"/>
      <w:lvlText w:val=""/>
      <w:lvlJc w:val="left"/>
      <w:pPr>
        <w:tabs>
          <w:tab w:val="num" w:pos="360"/>
        </w:tabs>
        <w:ind w:left="360" w:hanging="360"/>
      </w:pPr>
      <w:rPr>
        <w:rFonts w:ascii="Symbol" w:hAnsi="Symbol" w:hint="default"/>
      </w:rPr>
    </w:lvl>
  </w:abstractNum>
  <w:abstractNum w:abstractNumId="1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nsid w:val="3AEB0273"/>
    <w:multiLevelType w:val="multilevel"/>
    <w:tmpl w:val="526206A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7">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484C4F29"/>
    <w:multiLevelType w:val="multilevel"/>
    <w:tmpl w:val="D8061F64"/>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nsid w:val="59350CFB"/>
    <w:multiLevelType w:val="multilevel"/>
    <w:tmpl w:val="9DF09F0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nsid w:val="5DEC6B47"/>
    <w:multiLevelType w:val="multilevel"/>
    <w:tmpl w:val="604E1C0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1">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7D8C2C6D"/>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19"/>
  </w:num>
  <w:num w:numId="2">
    <w:abstractNumId w:val="12"/>
  </w:num>
  <w:num w:numId="3">
    <w:abstractNumId w:val="10"/>
  </w:num>
  <w:num w:numId="4">
    <w:abstractNumId w:val="21"/>
  </w:num>
  <w:num w:numId="5">
    <w:abstractNumId w:val="13"/>
  </w:num>
  <w:num w:numId="6">
    <w:abstractNumId w:val="16"/>
  </w:num>
  <w:num w:numId="7">
    <w:abstractNumId w:val="18"/>
  </w:num>
  <w:num w:numId="8">
    <w:abstractNumId w:val="9"/>
  </w:num>
  <w:num w:numId="9">
    <w:abstractNumId w:val="7"/>
  </w:num>
  <w:num w:numId="10">
    <w:abstractNumId w:val="6"/>
  </w:num>
  <w:num w:numId="11">
    <w:abstractNumId w:val="5"/>
  </w:num>
  <w:num w:numId="12">
    <w:abstractNumId w:val="4"/>
  </w:num>
  <w:num w:numId="13">
    <w:abstractNumId w:val="8"/>
  </w:num>
  <w:num w:numId="14">
    <w:abstractNumId w:val="3"/>
  </w:num>
  <w:num w:numId="15">
    <w:abstractNumId w:val="2"/>
  </w:num>
  <w:num w:numId="16">
    <w:abstractNumId w:val="1"/>
  </w:num>
  <w:num w:numId="17">
    <w:abstractNumId w:val="0"/>
  </w:num>
  <w:num w:numId="18">
    <w:abstractNumId w:val="14"/>
  </w:num>
  <w:num w:numId="19">
    <w:abstractNumId w:val="15"/>
  </w:num>
  <w:num w:numId="20">
    <w:abstractNumId w:val="20"/>
  </w:num>
  <w:num w:numId="21">
    <w:abstractNumId w:val="17"/>
  </w:num>
  <w:num w:numId="22">
    <w:abstractNumId w:val="11"/>
  </w:num>
  <w:num w:numId="23">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attachedTemplate r:id="rId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43FD"/>
    <w:rsid w:val="00044A1A"/>
    <w:rsid w:val="000C4890"/>
    <w:rsid w:val="000E28DE"/>
    <w:rsid w:val="00115781"/>
    <w:rsid w:val="001B51F9"/>
    <w:rsid w:val="002734A8"/>
    <w:rsid w:val="002D7134"/>
    <w:rsid w:val="003F73DE"/>
    <w:rsid w:val="00427B0C"/>
    <w:rsid w:val="005F2462"/>
    <w:rsid w:val="0060013B"/>
    <w:rsid w:val="00645252"/>
    <w:rsid w:val="00670A37"/>
    <w:rsid w:val="006D3D74"/>
    <w:rsid w:val="006E318E"/>
    <w:rsid w:val="0075142C"/>
    <w:rsid w:val="00781F08"/>
    <w:rsid w:val="007D20EC"/>
    <w:rsid w:val="00876684"/>
    <w:rsid w:val="008D357F"/>
    <w:rsid w:val="0096330E"/>
    <w:rsid w:val="00980288"/>
    <w:rsid w:val="009C61F0"/>
    <w:rsid w:val="00A043FD"/>
    <w:rsid w:val="00A9204E"/>
    <w:rsid w:val="00B079B1"/>
    <w:rsid w:val="00B11A1F"/>
    <w:rsid w:val="00B134DB"/>
    <w:rsid w:val="00CA080F"/>
    <w:rsid w:val="00CF4B00"/>
    <w:rsid w:val="00E83576"/>
    <w:rsid w:val="00ED6684"/>
    <w:rsid w:val="00F620B4"/>
    <w:rsid w:val="00F7720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3D74"/>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semiHidden/>
    <w:unhideWhenUsed/>
    <w:rsid w:val="006D3D74"/>
  </w:style>
  <w:style w:type="character" w:customStyle="1" w:styleId="HeaderChar">
    <w:name w:val="Header Char"/>
    <w:basedOn w:val="DefaultParagraphFont"/>
    <w:link w:val="Header"/>
    <w:uiPriority w:val="99"/>
    <w:semiHidden/>
    <w:rsid w:val="006D3D74"/>
  </w:style>
  <w:style w:type="paragraph" w:styleId="Footer">
    <w:name w:val="footer"/>
    <w:basedOn w:val="Normal"/>
    <w:link w:val="FooterChar"/>
    <w:uiPriority w:val="99"/>
    <w:semiHidden/>
    <w:unhideWhenUsed/>
    <w:rsid w:val="006D3D74"/>
  </w:style>
  <w:style w:type="character" w:customStyle="1" w:styleId="FooterChar">
    <w:name w:val="Footer Char"/>
    <w:basedOn w:val="DefaultParagraphFont"/>
    <w:link w:val="Footer"/>
    <w:uiPriority w:val="99"/>
    <w:semiHidden/>
    <w:rsid w:val="006D3D74"/>
  </w:style>
  <w:style w:type="paragraph" w:styleId="ListParagraph">
    <w:name w:val="List Paragraph"/>
    <w:basedOn w:val="Normal"/>
    <w:uiPriority w:val="34"/>
    <w:qFormat/>
    <w:rsid w:val="002D7134"/>
    <w:pPr>
      <w:ind w:left="720"/>
    </w:pPr>
    <w:rPr>
      <w:rFonts w:ascii="Calibri" w:hAnsi="Calibri" w:cs="Times New Roman"/>
      <w:lang w:val="en-AU"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3D74"/>
  </w:style>
  <w:style w:type="paragraph" w:styleId="Heading1">
    <w:name w:val="heading 1"/>
    <w:basedOn w:val="Normal"/>
    <w:next w:val="Normal"/>
    <w:link w:val="Heading1Char"/>
    <w:uiPriority w:val="9"/>
    <w:qFormat/>
    <w:rsid w:val="006D3D74"/>
    <w:pPr>
      <w:keepNext/>
      <w:keepLines/>
      <w:spacing w:before="240"/>
      <w:outlineLvl w:val="0"/>
    </w:pPr>
    <w:rPr>
      <w:rFonts w:asciiTheme="majorHAnsi" w:eastAsiaTheme="majorEastAsia" w:hAnsiTheme="majorHAnsi" w:cstheme="majorBidi"/>
      <w:color w:val="1F4E79" w:themeColor="accent1" w:themeShade="80"/>
      <w:sz w:val="32"/>
      <w:szCs w:val="32"/>
    </w:rPr>
  </w:style>
  <w:style w:type="paragraph" w:styleId="Heading2">
    <w:name w:val="heading 2"/>
    <w:basedOn w:val="Normal"/>
    <w:next w:val="Normal"/>
    <w:link w:val="Heading2Char"/>
    <w:uiPriority w:val="9"/>
    <w:unhideWhenUsed/>
    <w:qFormat/>
    <w:rsid w:val="006D3D74"/>
    <w:pPr>
      <w:keepNext/>
      <w:keepLines/>
      <w:spacing w:before="40"/>
      <w:outlineLvl w:val="1"/>
    </w:pPr>
    <w:rPr>
      <w:rFonts w:asciiTheme="majorHAnsi" w:eastAsiaTheme="majorEastAsia" w:hAnsiTheme="majorHAnsi" w:cstheme="majorBidi"/>
      <w:color w:val="1F4E79" w:themeColor="accent1" w:themeShade="80"/>
      <w:sz w:val="26"/>
      <w:szCs w:val="26"/>
    </w:rPr>
  </w:style>
  <w:style w:type="paragraph" w:styleId="Heading3">
    <w:name w:val="heading 3"/>
    <w:basedOn w:val="Normal"/>
    <w:next w:val="Normal"/>
    <w:link w:val="Heading3Char"/>
    <w:uiPriority w:val="9"/>
    <w:unhideWhenUsed/>
    <w:qFormat/>
    <w:rsid w:val="006D3D74"/>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6D3D74"/>
    <w:pPr>
      <w:keepNext/>
      <w:keepLines/>
      <w:spacing w:before="40"/>
      <w:outlineLvl w:val="3"/>
    </w:pPr>
    <w:rPr>
      <w:rFonts w:asciiTheme="majorHAnsi" w:eastAsiaTheme="majorEastAsia" w:hAnsiTheme="majorHAnsi" w:cstheme="majorBidi"/>
      <w:i/>
      <w:iCs/>
      <w:color w:val="1F4E79" w:themeColor="accent1" w:themeShade="80"/>
    </w:rPr>
  </w:style>
  <w:style w:type="paragraph" w:styleId="Heading5">
    <w:name w:val="heading 5"/>
    <w:basedOn w:val="Normal"/>
    <w:next w:val="Normal"/>
    <w:link w:val="Heading5Char"/>
    <w:uiPriority w:val="9"/>
    <w:unhideWhenUsed/>
    <w:qFormat/>
    <w:rsid w:val="006D3D74"/>
    <w:pPr>
      <w:keepNext/>
      <w:keepLines/>
      <w:spacing w:before="40"/>
      <w:outlineLvl w:val="4"/>
    </w:pPr>
    <w:rPr>
      <w:rFonts w:asciiTheme="majorHAnsi" w:eastAsiaTheme="majorEastAsia" w:hAnsiTheme="majorHAnsi" w:cstheme="majorBidi"/>
      <w:color w:val="1F4E79" w:themeColor="accent1" w:themeShade="80"/>
    </w:rPr>
  </w:style>
  <w:style w:type="paragraph" w:styleId="Heading6">
    <w:name w:val="heading 6"/>
    <w:basedOn w:val="Normal"/>
    <w:next w:val="Normal"/>
    <w:link w:val="Heading6Char"/>
    <w:uiPriority w:val="9"/>
    <w:unhideWhenUsed/>
    <w:qFormat/>
    <w:rsid w:val="006D3D74"/>
    <w:pPr>
      <w:keepNext/>
      <w:keepLines/>
      <w:spacing w:before="4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unhideWhenUsed/>
    <w:qFormat/>
    <w:rsid w:val="006D3D74"/>
    <w:pPr>
      <w:keepNext/>
      <w:keepLines/>
      <w:spacing w:before="4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unhideWhenUsed/>
    <w:qFormat/>
    <w:rsid w:val="006D3D74"/>
    <w:pPr>
      <w:keepNext/>
      <w:keepLines/>
      <w:spacing w:before="4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unhideWhenUsed/>
    <w:qFormat/>
    <w:rsid w:val="006D3D74"/>
    <w:pPr>
      <w:keepNext/>
      <w:keepLines/>
      <w:spacing w:before="4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3D74"/>
    <w:rPr>
      <w:rFonts w:asciiTheme="majorHAnsi" w:eastAsiaTheme="majorEastAsia" w:hAnsiTheme="majorHAnsi" w:cstheme="majorBidi"/>
      <w:color w:val="1F4E79" w:themeColor="accent1" w:themeShade="80"/>
      <w:sz w:val="32"/>
      <w:szCs w:val="32"/>
    </w:rPr>
  </w:style>
  <w:style w:type="character" w:customStyle="1" w:styleId="Heading2Char">
    <w:name w:val="Heading 2 Char"/>
    <w:basedOn w:val="DefaultParagraphFont"/>
    <w:link w:val="Heading2"/>
    <w:uiPriority w:val="9"/>
    <w:rsid w:val="006D3D74"/>
    <w:rPr>
      <w:rFonts w:asciiTheme="majorHAnsi" w:eastAsiaTheme="majorEastAsia" w:hAnsiTheme="majorHAnsi" w:cstheme="majorBidi"/>
      <w:color w:val="1F4E79" w:themeColor="accent1" w:themeShade="80"/>
      <w:sz w:val="26"/>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6D3D74"/>
    <w:rPr>
      <w:rFonts w:asciiTheme="majorHAnsi" w:eastAsiaTheme="majorEastAsia" w:hAnsiTheme="majorHAnsi" w:cstheme="majorBidi"/>
      <w:i/>
      <w:iCs/>
      <w:color w:val="1F4E79" w:themeColor="accent1" w:themeShade="80"/>
    </w:rPr>
  </w:style>
  <w:style w:type="character" w:customStyle="1" w:styleId="Heading5Char">
    <w:name w:val="Heading 5 Char"/>
    <w:basedOn w:val="DefaultParagraphFont"/>
    <w:link w:val="Heading5"/>
    <w:uiPriority w:val="9"/>
    <w:rsid w:val="006D3D74"/>
    <w:rPr>
      <w:rFonts w:asciiTheme="majorHAnsi" w:eastAsiaTheme="majorEastAsia" w:hAnsiTheme="majorHAnsi" w:cstheme="majorBidi"/>
      <w:color w:val="1F4E79" w:themeColor="accent1" w:themeShade="80"/>
    </w:rPr>
  </w:style>
  <w:style w:type="character" w:customStyle="1" w:styleId="Heading6Char">
    <w:name w:val="Heading 6 Char"/>
    <w:basedOn w:val="DefaultParagraphFont"/>
    <w:link w:val="Heading6"/>
    <w:uiPriority w:val="9"/>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rsid w:val="00645252"/>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rsid w:val="00645252"/>
    <w:rPr>
      <w:rFonts w:asciiTheme="majorHAnsi" w:eastAsiaTheme="majorEastAsia" w:hAnsiTheme="majorHAnsi" w:cstheme="majorBidi"/>
      <w:i/>
      <w:iCs/>
      <w:color w:val="272727" w:themeColor="text1" w:themeTint="D8"/>
      <w:szCs w:val="21"/>
    </w:rPr>
  </w:style>
  <w:style w:type="paragraph" w:styleId="Title">
    <w:name w:val="Title"/>
    <w:basedOn w:val="Normal"/>
    <w:next w:val="Normal"/>
    <w:link w:val="TitleChar"/>
    <w:uiPriority w:val="10"/>
    <w:qFormat/>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Pr>
      <w:rFonts w:eastAsiaTheme="minorEastAsia"/>
      <w:color w:val="5A5A5A" w:themeColor="text1" w:themeTint="A5"/>
      <w:spacing w:val="15"/>
    </w:rPr>
  </w:style>
  <w:style w:type="character" w:styleId="SubtleEmphasis">
    <w:name w:val="Subtle Emphasis"/>
    <w:basedOn w:val="DefaultParagraphFont"/>
    <w:uiPriority w:val="19"/>
    <w:qFormat/>
    <w:rPr>
      <w:i/>
      <w:iCs/>
      <w:color w:val="404040" w:themeColor="text1" w:themeTint="BF"/>
    </w:rPr>
  </w:style>
  <w:style w:type="character" w:styleId="Emphasis">
    <w:name w:val="Emphasis"/>
    <w:basedOn w:val="DefaultParagraphFont"/>
    <w:uiPriority w:val="20"/>
    <w:qFormat/>
    <w:rPr>
      <w:i/>
      <w:iCs/>
    </w:rPr>
  </w:style>
  <w:style w:type="character" w:styleId="IntenseEmphasis">
    <w:name w:val="Intense Emphasis"/>
    <w:basedOn w:val="DefaultParagraphFont"/>
    <w:uiPriority w:val="21"/>
    <w:qFormat/>
    <w:rsid w:val="00645252"/>
    <w:rPr>
      <w:i/>
      <w:iCs/>
      <w:color w:val="1F4E79" w:themeColor="accent1" w:themeShade="80"/>
    </w:rPr>
  </w:style>
  <w:style w:type="character" w:styleId="Strong">
    <w:name w:val="Strong"/>
    <w:basedOn w:val="DefaultParagraphFont"/>
    <w:uiPriority w:val="22"/>
    <w:qFormat/>
    <w:rPr>
      <w:b/>
      <w:bCs/>
    </w:rPr>
  </w:style>
  <w:style w:type="paragraph" w:styleId="Quote">
    <w:name w:val="Quote"/>
    <w:basedOn w:val="Normal"/>
    <w:next w:val="Normal"/>
    <w:link w:val="QuoteChar"/>
    <w:uiPriority w:val="29"/>
    <w:qFormat/>
    <w:pPr>
      <w:spacing w:before="200"/>
      <w:ind w:left="864" w:right="864"/>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IntenseQuote">
    <w:name w:val="Intense Quote"/>
    <w:basedOn w:val="Normal"/>
    <w:next w:val="Normal"/>
    <w:link w:val="IntenseQuoteChar"/>
    <w:uiPriority w:val="30"/>
    <w:qFormat/>
    <w:rsid w:val="00645252"/>
    <w:pPr>
      <w:pBdr>
        <w:top w:val="single" w:sz="4" w:space="10" w:color="1F4E79" w:themeColor="accent1" w:themeShade="80"/>
        <w:bottom w:val="single" w:sz="4" w:space="10" w:color="1F4E79" w:themeColor="accent1" w:themeShade="80"/>
      </w:pBdr>
      <w:spacing w:before="360" w:after="360"/>
      <w:ind w:left="864" w:right="864"/>
      <w:jc w:val="center"/>
    </w:pPr>
    <w:rPr>
      <w:i/>
      <w:iCs/>
      <w:color w:val="1F4E79" w:themeColor="accent1" w:themeShade="80"/>
    </w:rPr>
  </w:style>
  <w:style w:type="character" w:customStyle="1" w:styleId="IntenseQuoteChar">
    <w:name w:val="Intense Quote Char"/>
    <w:basedOn w:val="DefaultParagraphFont"/>
    <w:link w:val="IntenseQuote"/>
    <w:uiPriority w:val="30"/>
    <w:rsid w:val="00645252"/>
    <w:rPr>
      <w:i/>
      <w:iCs/>
      <w:color w:val="1F4E79" w:themeColor="accent1" w:themeShade="80"/>
    </w:rPr>
  </w:style>
  <w:style w:type="character" w:styleId="SubtleReference">
    <w:name w:val="Subtle Reference"/>
    <w:basedOn w:val="DefaultParagraphFont"/>
    <w:uiPriority w:val="31"/>
    <w:qFormat/>
    <w:rPr>
      <w:smallCaps/>
      <w:color w:val="5A5A5A" w:themeColor="text1" w:themeTint="A5"/>
    </w:rPr>
  </w:style>
  <w:style w:type="character" w:styleId="IntenseReference">
    <w:name w:val="Intense Reference"/>
    <w:basedOn w:val="DefaultParagraphFont"/>
    <w:uiPriority w:val="32"/>
    <w:qFormat/>
    <w:rsid w:val="00645252"/>
    <w:rPr>
      <w:b/>
      <w:bCs/>
      <w:caps w:val="0"/>
      <w:smallCaps/>
      <w:color w:val="1F4E79" w:themeColor="accent1" w:themeShade="80"/>
      <w:spacing w:val="5"/>
    </w:rPr>
  </w:style>
  <w:style w:type="character" w:styleId="BookTitle">
    <w:name w:val="Book Title"/>
    <w:basedOn w:val="DefaultParagraphFont"/>
    <w:uiPriority w:val="33"/>
    <w:qFormat/>
    <w:rPr>
      <w:b/>
      <w:bCs/>
      <w:i/>
      <w:iCs/>
      <w:spacing w:val="5"/>
    </w:rPr>
  </w:style>
  <w:style w:type="character" w:styleId="Hyperlink">
    <w:name w:val="Hyperlink"/>
    <w:basedOn w:val="DefaultParagraphFont"/>
    <w:uiPriority w:val="99"/>
    <w:unhideWhenUsed/>
    <w:rsid w:val="00645252"/>
    <w:rPr>
      <w:color w:val="1F4E79" w:themeColor="accent1" w:themeShade="80"/>
      <w:u w:val="single"/>
    </w:rPr>
  </w:style>
  <w:style w:type="character" w:styleId="FollowedHyperlink">
    <w:name w:val="FollowedHyperlink"/>
    <w:basedOn w:val="DefaultParagraphFont"/>
    <w:uiPriority w:val="99"/>
    <w:unhideWhenUsed/>
    <w:rPr>
      <w:color w:val="954F72" w:themeColor="followedHyperlink"/>
      <w:u w:val="single"/>
    </w:rPr>
  </w:style>
  <w:style w:type="paragraph" w:styleId="Caption">
    <w:name w:val="caption"/>
    <w:basedOn w:val="Normal"/>
    <w:next w:val="Normal"/>
    <w:uiPriority w:val="35"/>
    <w:unhideWhenUsed/>
    <w:qFormat/>
    <w:rsid w:val="00645252"/>
    <w:pPr>
      <w:spacing w:after="200"/>
    </w:pPr>
    <w:rPr>
      <w:i/>
      <w:iCs/>
      <w:color w:val="44546A" w:themeColor="text2"/>
      <w:szCs w:val="18"/>
    </w:rPr>
  </w:style>
  <w:style w:type="paragraph" w:styleId="BalloonText">
    <w:name w:val="Balloon Text"/>
    <w:basedOn w:val="Normal"/>
    <w:link w:val="BalloonTextChar"/>
    <w:uiPriority w:val="99"/>
    <w:semiHidden/>
    <w:unhideWhenUsed/>
    <w:rsid w:val="00645252"/>
    <w:rPr>
      <w:rFonts w:ascii="Segoe UI" w:hAnsi="Segoe UI" w:cs="Segoe UI"/>
      <w:szCs w:val="18"/>
    </w:rPr>
  </w:style>
  <w:style w:type="character" w:customStyle="1" w:styleId="BalloonTextChar">
    <w:name w:val="Balloon Text Char"/>
    <w:basedOn w:val="DefaultParagraphFont"/>
    <w:link w:val="BalloonText"/>
    <w:uiPriority w:val="99"/>
    <w:semiHidden/>
    <w:rsid w:val="00645252"/>
    <w:rPr>
      <w:rFonts w:ascii="Segoe UI" w:hAnsi="Segoe UI" w:cs="Segoe UI"/>
      <w:szCs w:val="18"/>
    </w:rPr>
  </w:style>
  <w:style w:type="paragraph" w:styleId="BlockText">
    <w:name w:val="Block Text"/>
    <w:basedOn w:val="Normal"/>
    <w:uiPriority w:val="99"/>
    <w:semiHidden/>
    <w:unhideWhenUsed/>
    <w:rsid w:val="00645252"/>
    <w:pPr>
      <w:pBdr>
        <w:top w:val="single" w:sz="2" w:space="10" w:color="5B9BD5" w:themeColor="accent1" w:shadow="1" w:frame="1"/>
        <w:left w:val="single" w:sz="2" w:space="10" w:color="5B9BD5" w:themeColor="accent1" w:shadow="1" w:frame="1"/>
        <w:bottom w:val="single" w:sz="2" w:space="10" w:color="5B9BD5" w:themeColor="accent1" w:shadow="1" w:frame="1"/>
        <w:right w:val="single" w:sz="2" w:space="10" w:color="5B9BD5" w:themeColor="accent1" w:shadow="1" w:frame="1"/>
      </w:pBdr>
      <w:ind w:left="1152" w:right="1152"/>
    </w:pPr>
    <w:rPr>
      <w:rFonts w:eastAsiaTheme="minorEastAsia"/>
      <w:i/>
      <w:iCs/>
      <w:color w:val="1F4E79" w:themeColor="accent1" w:themeShade="80"/>
    </w:rPr>
  </w:style>
  <w:style w:type="paragraph" w:styleId="BodyText3">
    <w:name w:val="Body Text 3"/>
    <w:basedOn w:val="Normal"/>
    <w:link w:val="BodyText3Char"/>
    <w:uiPriority w:val="99"/>
    <w:semiHidden/>
    <w:unhideWhenUsed/>
    <w:rsid w:val="00645252"/>
    <w:pPr>
      <w:spacing w:after="120"/>
    </w:pPr>
    <w:rPr>
      <w:szCs w:val="16"/>
    </w:rPr>
  </w:style>
  <w:style w:type="character" w:customStyle="1" w:styleId="BodyText3Char">
    <w:name w:val="Body Text 3 Char"/>
    <w:basedOn w:val="DefaultParagraphFont"/>
    <w:link w:val="BodyText3"/>
    <w:uiPriority w:val="99"/>
    <w:semiHidden/>
    <w:rsid w:val="00645252"/>
    <w:rPr>
      <w:szCs w:val="16"/>
    </w:rPr>
  </w:style>
  <w:style w:type="paragraph" w:styleId="BodyTextIndent3">
    <w:name w:val="Body Text Indent 3"/>
    <w:basedOn w:val="Normal"/>
    <w:link w:val="BodyTextIndent3Char"/>
    <w:uiPriority w:val="99"/>
    <w:semiHidden/>
    <w:unhideWhenUsed/>
    <w:rsid w:val="00645252"/>
    <w:pPr>
      <w:spacing w:after="120"/>
      <w:ind w:left="360"/>
    </w:pPr>
    <w:rPr>
      <w:szCs w:val="16"/>
    </w:rPr>
  </w:style>
  <w:style w:type="character" w:customStyle="1" w:styleId="BodyTextIndent3Char">
    <w:name w:val="Body Text Indent 3 Char"/>
    <w:basedOn w:val="DefaultParagraphFont"/>
    <w:link w:val="BodyTextIndent3"/>
    <w:uiPriority w:val="99"/>
    <w:semiHidden/>
    <w:rsid w:val="00645252"/>
    <w:rPr>
      <w:szCs w:val="16"/>
    </w:rPr>
  </w:style>
  <w:style w:type="character" w:styleId="CommentReference">
    <w:name w:val="annotation reference"/>
    <w:basedOn w:val="DefaultParagraphFont"/>
    <w:uiPriority w:val="99"/>
    <w:semiHidden/>
    <w:unhideWhenUsed/>
    <w:rsid w:val="00645252"/>
    <w:rPr>
      <w:sz w:val="22"/>
      <w:szCs w:val="16"/>
    </w:rPr>
  </w:style>
  <w:style w:type="paragraph" w:styleId="CommentText">
    <w:name w:val="annotation text"/>
    <w:basedOn w:val="Normal"/>
    <w:link w:val="CommentTextChar"/>
    <w:uiPriority w:val="99"/>
    <w:semiHidden/>
    <w:unhideWhenUsed/>
    <w:rsid w:val="00645252"/>
    <w:rPr>
      <w:szCs w:val="20"/>
    </w:rPr>
  </w:style>
  <w:style w:type="character" w:customStyle="1" w:styleId="CommentTextChar">
    <w:name w:val="Comment Text Char"/>
    <w:basedOn w:val="DefaultParagraphFont"/>
    <w:link w:val="CommentText"/>
    <w:uiPriority w:val="99"/>
    <w:semiHidden/>
    <w:rsid w:val="00645252"/>
    <w:rPr>
      <w:szCs w:val="20"/>
    </w:rPr>
  </w:style>
  <w:style w:type="paragraph" w:styleId="CommentSubject">
    <w:name w:val="annotation subject"/>
    <w:basedOn w:val="CommentText"/>
    <w:next w:val="CommentText"/>
    <w:link w:val="CommentSubjectChar"/>
    <w:uiPriority w:val="99"/>
    <w:semiHidden/>
    <w:unhideWhenUsed/>
    <w:rsid w:val="00645252"/>
    <w:rPr>
      <w:b/>
      <w:bCs/>
    </w:rPr>
  </w:style>
  <w:style w:type="character" w:customStyle="1" w:styleId="CommentSubjectChar">
    <w:name w:val="Comment Subject Char"/>
    <w:basedOn w:val="CommentTextChar"/>
    <w:link w:val="CommentSubject"/>
    <w:uiPriority w:val="99"/>
    <w:semiHidden/>
    <w:rsid w:val="00645252"/>
    <w:rPr>
      <w:b/>
      <w:bCs/>
      <w:szCs w:val="20"/>
    </w:rPr>
  </w:style>
  <w:style w:type="paragraph" w:styleId="DocumentMap">
    <w:name w:val="Document Map"/>
    <w:basedOn w:val="Normal"/>
    <w:link w:val="DocumentMapChar"/>
    <w:uiPriority w:val="99"/>
    <w:semiHidden/>
    <w:unhideWhenUsed/>
    <w:rsid w:val="00645252"/>
    <w:rPr>
      <w:rFonts w:ascii="Segoe UI" w:hAnsi="Segoe UI" w:cs="Segoe UI"/>
      <w:szCs w:val="16"/>
    </w:rPr>
  </w:style>
  <w:style w:type="character" w:customStyle="1" w:styleId="DocumentMapChar">
    <w:name w:val="Document Map Char"/>
    <w:basedOn w:val="DefaultParagraphFont"/>
    <w:link w:val="DocumentMap"/>
    <w:uiPriority w:val="99"/>
    <w:semiHidden/>
    <w:rsid w:val="00645252"/>
    <w:rPr>
      <w:rFonts w:ascii="Segoe UI" w:hAnsi="Segoe UI" w:cs="Segoe UI"/>
      <w:szCs w:val="16"/>
    </w:rPr>
  </w:style>
  <w:style w:type="paragraph" w:styleId="EndnoteText">
    <w:name w:val="endnote text"/>
    <w:basedOn w:val="Normal"/>
    <w:link w:val="EndnoteTextChar"/>
    <w:uiPriority w:val="99"/>
    <w:semiHidden/>
    <w:unhideWhenUsed/>
    <w:rsid w:val="00645252"/>
    <w:rPr>
      <w:szCs w:val="20"/>
    </w:rPr>
  </w:style>
  <w:style w:type="character" w:customStyle="1" w:styleId="EndnoteTextChar">
    <w:name w:val="Endnote Text Char"/>
    <w:basedOn w:val="DefaultParagraphFont"/>
    <w:link w:val="EndnoteText"/>
    <w:uiPriority w:val="99"/>
    <w:semiHidden/>
    <w:rsid w:val="00645252"/>
    <w:rPr>
      <w:szCs w:val="20"/>
    </w:rPr>
  </w:style>
  <w:style w:type="paragraph" w:styleId="EnvelopeReturn">
    <w:name w:val="envelope return"/>
    <w:basedOn w:val="Normal"/>
    <w:uiPriority w:val="99"/>
    <w:semiHidden/>
    <w:unhideWhenUsed/>
    <w:rsid w:val="00645252"/>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645252"/>
    <w:rPr>
      <w:szCs w:val="20"/>
    </w:rPr>
  </w:style>
  <w:style w:type="character" w:customStyle="1" w:styleId="FootnoteTextChar">
    <w:name w:val="Footnote Text Char"/>
    <w:basedOn w:val="DefaultParagraphFont"/>
    <w:link w:val="FootnoteText"/>
    <w:uiPriority w:val="99"/>
    <w:semiHidden/>
    <w:rsid w:val="00645252"/>
    <w:rPr>
      <w:szCs w:val="20"/>
    </w:rPr>
  </w:style>
  <w:style w:type="character" w:styleId="HTMLCode">
    <w:name w:val="HTML Code"/>
    <w:basedOn w:val="DefaultParagraphFont"/>
    <w:uiPriority w:val="99"/>
    <w:semiHidden/>
    <w:unhideWhenUsed/>
    <w:rsid w:val="00645252"/>
    <w:rPr>
      <w:rFonts w:ascii="Consolas" w:hAnsi="Consolas"/>
      <w:sz w:val="22"/>
      <w:szCs w:val="20"/>
    </w:rPr>
  </w:style>
  <w:style w:type="character" w:styleId="HTMLKeyboard">
    <w:name w:val="HTML Keyboard"/>
    <w:basedOn w:val="DefaultParagraphFont"/>
    <w:uiPriority w:val="99"/>
    <w:semiHidden/>
    <w:unhideWhenUsed/>
    <w:rsid w:val="00645252"/>
    <w:rPr>
      <w:rFonts w:ascii="Consolas" w:hAnsi="Consolas"/>
      <w:sz w:val="22"/>
      <w:szCs w:val="20"/>
    </w:rPr>
  </w:style>
  <w:style w:type="paragraph" w:styleId="HTMLPreformatted">
    <w:name w:val="HTML Preformatted"/>
    <w:basedOn w:val="Normal"/>
    <w:link w:val="HTMLPreformattedChar"/>
    <w:uiPriority w:val="99"/>
    <w:semiHidden/>
    <w:unhideWhenUsed/>
    <w:rsid w:val="00645252"/>
    <w:rPr>
      <w:rFonts w:ascii="Consolas" w:hAnsi="Consolas"/>
      <w:szCs w:val="20"/>
    </w:rPr>
  </w:style>
  <w:style w:type="character" w:customStyle="1" w:styleId="HTMLPreformattedChar">
    <w:name w:val="HTML Preformatted Char"/>
    <w:basedOn w:val="DefaultParagraphFont"/>
    <w:link w:val="HTMLPreformatted"/>
    <w:uiPriority w:val="99"/>
    <w:semiHidden/>
    <w:rsid w:val="00645252"/>
    <w:rPr>
      <w:rFonts w:ascii="Consolas" w:hAnsi="Consolas"/>
      <w:szCs w:val="20"/>
    </w:rPr>
  </w:style>
  <w:style w:type="character" w:styleId="HTMLTypewriter">
    <w:name w:val="HTML Typewriter"/>
    <w:basedOn w:val="DefaultParagraphFont"/>
    <w:uiPriority w:val="99"/>
    <w:semiHidden/>
    <w:unhideWhenUsed/>
    <w:rsid w:val="00645252"/>
    <w:rPr>
      <w:rFonts w:ascii="Consolas" w:hAnsi="Consolas"/>
      <w:sz w:val="22"/>
      <w:szCs w:val="20"/>
    </w:rPr>
  </w:style>
  <w:style w:type="paragraph" w:styleId="MacroText">
    <w:name w:val="macro"/>
    <w:link w:val="MacroTextChar"/>
    <w:uiPriority w:val="99"/>
    <w:semiHidden/>
    <w:unhideWhenUsed/>
    <w:rsid w:val="00645252"/>
    <w:pPr>
      <w:tabs>
        <w:tab w:val="left" w:pos="480"/>
        <w:tab w:val="left" w:pos="960"/>
        <w:tab w:val="left" w:pos="1440"/>
        <w:tab w:val="left" w:pos="1920"/>
        <w:tab w:val="left" w:pos="2400"/>
        <w:tab w:val="left" w:pos="2880"/>
        <w:tab w:val="left" w:pos="3360"/>
        <w:tab w:val="left" w:pos="3840"/>
        <w:tab w:val="left" w:pos="4320"/>
      </w:tabs>
    </w:pPr>
    <w:rPr>
      <w:rFonts w:ascii="Consolas" w:hAnsi="Consolas"/>
      <w:szCs w:val="20"/>
    </w:rPr>
  </w:style>
  <w:style w:type="character" w:customStyle="1" w:styleId="MacroTextChar">
    <w:name w:val="Macro Text Char"/>
    <w:basedOn w:val="DefaultParagraphFont"/>
    <w:link w:val="MacroText"/>
    <w:uiPriority w:val="99"/>
    <w:semiHidden/>
    <w:rsid w:val="00645252"/>
    <w:rPr>
      <w:rFonts w:ascii="Consolas" w:hAnsi="Consolas"/>
      <w:szCs w:val="20"/>
    </w:rPr>
  </w:style>
  <w:style w:type="paragraph" w:styleId="PlainText">
    <w:name w:val="Plain Text"/>
    <w:basedOn w:val="Normal"/>
    <w:link w:val="PlainTextChar"/>
    <w:uiPriority w:val="99"/>
    <w:semiHidden/>
    <w:unhideWhenUsed/>
    <w:rsid w:val="00645252"/>
    <w:rPr>
      <w:rFonts w:ascii="Consolas" w:hAnsi="Consolas"/>
      <w:szCs w:val="21"/>
    </w:rPr>
  </w:style>
  <w:style w:type="character" w:customStyle="1" w:styleId="PlainTextChar">
    <w:name w:val="Plain Text Char"/>
    <w:basedOn w:val="DefaultParagraphFont"/>
    <w:link w:val="PlainText"/>
    <w:uiPriority w:val="99"/>
    <w:semiHidden/>
    <w:rsid w:val="00645252"/>
    <w:rPr>
      <w:rFonts w:ascii="Consolas" w:hAnsi="Consolas"/>
      <w:szCs w:val="21"/>
    </w:rPr>
  </w:style>
  <w:style w:type="character" w:styleId="PlaceholderText">
    <w:name w:val="Placeholder Text"/>
    <w:basedOn w:val="DefaultParagraphFont"/>
    <w:uiPriority w:val="99"/>
    <w:semiHidden/>
    <w:rsid w:val="00645252"/>
    <w:rPr>
      <w:color w:val="3B3838" w:themeColor="background2" w:themeShade="40"/>
    </w:rPr>
  </w:style>
  <w:style w:type="paragraph" w:styleId="Header">
    <w:name w:val="header"/>
    <w:basedOn w:val="Normal"/>
    <w:link w:val="HeaderChar"/>
    <w:uiPriority w:val="99"/>
    <w:semiHidden/>
    <w:unhideWhenUsed/>
    <w:rsid w:val="006D3D74"/>
  </w:style>
  <w:style w:type="character" w:customStyle="1" w:styleId="HeaderChar">
    <w:name w:val="Header Char"/>
    <w:basedOn w:val="DefaultParagraphFont"/>
    <w:link w:val="Header"/>
    <w:uiPriority w:val="99"/>
    <w:semiHidden/>
    <w:rsid w:val="006D3D74"/>
  </w:style>
  <w:style w:type="paragraph" w:styleId="Footer">
    <w:name w:val="footer"/>
    <w:basedOn w:val="Normal"/>
    <w:link w:val="FooterChar"/>
    <w:uiPriority w:val="99"/>
    <w:semiHidden/>
    <w:unhideWhenUsed/>
    <w:rsid w:val="006D3D74"/>
  </w:style>
  <w:style w:type="character" w:customStyle="1" w:styleId="FooterChar">
    <w:name w:val="Footer Char"/>
    <w:basedOn w:val="DefaultParagraphFont"/>
    <w:link w:val="Footer"/>
    <w:uiPriority w:val="99"/>
    <w:semiHidden/>
    <w:rsid w:val="006D3D74"/>
  </w:style>
  <w:style w:type="paragraph" w:styleId="ListParagraph">
    <w:name w:val="List Paragraph"/>
    <w:basedOn w:val="Normal"/>
    <w:uiPriority w:val="34"/>
    <w:qFormat/>
    <w:rsid w:val="002D7134"/>
    <w:pPr>
      <w:ind w:left="720"/>
    </w:pPr>
    <w:rPr>
      <w:rFonts w:ascii="Calibri" w:hAnsi="Calibri" w:cs="Times New Roman"/>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9569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enneth\AppData\Roaming\Microsoft\Templates\Single%20spaced%20(blan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customXml/itemProps2.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01C3C56-10DB-49F7-B061-44D8728D078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Single spaced (blank)</Template>
  <TotalTime>0</TotalTime>
  <Pages>4</Pages>
  <Words>1218</Words>
  <Characters>6947</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8149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Kenneth Hayne</dc:creator>
  <cp:lastModifiedBy>Silvia</cp:lastModifiedBy>
  <cp:revision>2</cp:revision>
  <cp:lastPrinted>2017-04-06T02:16:00Z</cp:lastPrinted>
  <dcterms:created xsi:type="dcterms:W3CDTF">2017-04-12T09:49:00Z</dcterms:created>
  <dcterms:modified xsi:type="dcterms:W3CDTF">2017-04-12T09:49:00Z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ternalTags">
    <vt:lpwstr/>
  </property>
  <property fmtid="{D5CDD505-2E9C-101B-9397-08002B2CF9AE}" pid="3" name="ContentTypeId">
    <vt:lpwstr>0x0101006EDDDB5EE6D98C44930B742096920B300400F5B6D36B3EF94B4E9A635CDF2A18F5B8</vt:lpwstr>
  </property>
  <property fmtid="{D5CDD505-2E9C-101B-9397-08002B2CF9AE}" pid="4" name="FeatureTags">
    <vt:lpwstr/>
  </property>
  <property fmtid="{D5CDD505-2E9C-101B-9397-08002B2CF9AE}" pid="5" name="LocalizationTags">
    <vt:lpwstr/>
  </property>
  <property fmtid="{D5CDD505-2E9C-101B-9397-08002B2CF9AE}" pid="6" name="CampaignTags">
    <vt:lpwstr/>
  </property>
  <property fmtid="{D5CDD505-2E9C-101B-9397-08002B2CF9AE}" pid="7" name="ScenarioTags">
    <vt:lpwstr/>
  </property>
</Properties>
</file>